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2"/>
          <w:szCs w:val="22"/>
        </w:rPr>
      </w:pPr>
      <w:bookmarkStart w:colFirst="0" w:colLast="0" w:name="_h3o50t5wwayv" w:id="0"/>
      <w:bookmarkEnd w:id="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Critical Thinking Online synchronous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color w:val="000000"/>
          <w:sz w:val="22"/>
          <w:szCs w:val="22"/>
        </w:rPr>
      </w:pPr>
      <w:bookmarkStart w:colFirst="0" w:colLast="0" w:name="_6gargwik8opk" w:id="1"/>
      <w:bookmarkEnd w:id="1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Additional material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Further reading: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Books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Thinking, Fast and Slow by Daniel Kahneman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foundational exploration of the two systems that drive our thinking — fast, intuitive reactions vs. slow, deliberate reasoning.</w:t>
        <w:br w:type="textWrapping"/>
      </w:r>
      <w:r w:rsidDel="00000000" w:rsidR="00000000" w:rsidRPr="00000000">
        <w:rPr>
          <w:b w:val="1"/>
          <w:rtl w:val="0"/>
        </w:rPr>
        <w:t xml:space="preserve">Why it matters for educators:</w:t>
      </w:r>
      <w:r w:rsidDel="00000000" w:rsidR="00000000" w:rsidRPr="00000000">
        <w:rPr>
          <w:rtl w:val="0"/>
        </w:rPr>
        <w:t xml:space="preserve"> Helps recognize bias in classroom and leadership decisions.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Demon-Haunted World: Science as a Candle in the Dark by Carl Sagan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passionate defence of scientific thinking and skepticism.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Why it matters:</w:t>
      </w:r>
      <w:r w:rsidDel="00000000" w:rsidR="00000000" w:rsidRPr="00000000">
        <w:rPr>
          <w:rtl w:val="0"/>
        </w:rPr>
        <w:t xml:space="preserve"> Encourages intellectual humility and evidence-based reasoning — essential in a misinformation-rich world.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Blindspot: Hidden Biases of Good People by Mahzarin R. Banaji &amp; Anthony G. Greenwald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Explains how unconscious biases affect our everyday decisions — even when we mean well.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For school leaders, especially:</w:t>
      </w:r>
      <w:r w:rsidDel="00000000" w:rsidR="00000000" w:rsidRPr="00000000">
        <w:rPr>
          <w:rtl w:val="0"/>
        </w:rPr>
        <w:t xml:space="preserve"> Great lens on equity, hiring, discipline, and staff development.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Leadership and Self-Deception by The Arbinger Institute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narrative-style book exploring how leaders deceive themselves about their intentions and actions.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Key takeaway:</w:t>
      </w:r>
      <w:r w:rsidDel="00000000" w:rsidR="00000000" w:rsidRPr="00000000">
        <w:rPr>
          <w:rtl w:val="0"/>
        </w:rPr>
        <w:t xml:space="preserve"> Self-awareness is foundational to critical leadership thinking.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Articles and tools: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rtl w:val="0"/>
        </w:rPr>
        <w:t xml:space="preserve">“The Problem with ‘I Think Therefore I Am’” – </w:t>
      </w:r>
      <w:r w:rsidDel="00000000" w:rsidR="00000000" w:rsidRPr="00000000">
        <w:rPr>
          <w:b w:val="1"/>
          <w:i w:val="1"/>
          <w:rtl w:val="0"/>
        </w:rPr>
        <w:t xml:space="preserve">The Atlantic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Explores how certainty can blind us to deeper truths.</w:t>
        <w:br w:type="textWrapping"/>
        <w:t xml:space="preserve"> Link:</w:t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https://www.theatlantic.com</w:t>
        </w:r>
      </w:hyperlink>
      <w:r w:rsidDel="00000000" w:rsidR="00000000" w:rsidRPr="00000000">
        <w:rPr>
          <w:rtl w:val="0"/>
        </w:rPr>
        <w:t xml:space="preserve"> (search title)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“Cognitive Bias Cheat Sheet” by Buster Benson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practical visual breakdown of dozens of cognitive biases with real-world implications.</w:t>
        <w:br w:type="textWrapping"/>
        <w:t xml:space="preserve"> Free: https://betterhumans.pub/cognitive-bias-cheat-sheet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“The Ladder of Inference” – Harvard Business Review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short read explaining how people leap to conclusions based on selective data.</w:t>
        <w:br w:type="textWrapping"/>
        <w:t xml:space="preserve"> Search: </w:t>
      </w:r>
      <w:r w:rsidDel="00000000" w:rsidR="00000000" w:rsidRPr="00000000">
        <w:rPr>
          <w:i w:val="1"/>
          <w:rtl w:val="0"/>
        </w:rPr>
        <w:t xml:space="preserve">“HBR Ladder of Inference”</w:t>
      </w:r>
      <w:r w:rsidDel="00000000" w:rsidR="00000000" w:rsidRPr="00000000">
        <w:rPr>
          <w:rtl w:val="0"/>
        </w:rPr>
        <w:t xml:space="preserve"> or access via</w:t>
      </w:r>
      <w:hyperlink r:id="rId8">
        <w:r w:rsidDel="00000000" w:rsidR="00000000" w:rsidRPr="00000000">
          <w:rPr>
            <w:rtl w:val="0"/>
          </w:rPr>
          <w:t xml:space="preserve"> </w:t>
        </w:r>
      </w:hyperlink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HBR.org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hbr.org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theatlantic.com/" TargetMode="External"/><Relationship Id="rId7" Type="http://schemas.openxmlformats.org/officeDocument/2006/relationships/hyperlink" Target="https://www.theatlantic.com/" TargetMode="External"/><Relationship Id="rId8" Type="http://schemas.openxmlformats.org/officeDocument/2006/relationships/hyperlink" Target="https://hbr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